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SBK 2025 78 vom 29. September 2025</w:t>
      </w:r>
    </w:p>
    <w:p>
      <w:r>
        <w:t>GR Gerichte, 2025-09-29, DE</w:t>
      </w:r>
    </w:p>
    <w:p>
      <w:r>
        <w:rPr>
          <w:b/>
        </w:rPr>
        <w:t xml:space="preserve">Quelle: </w:t>
      </w:r>
      <w:r>
        <w:t>https://mcp.opencaselaw.ch/entscheid/gr_gerichte_SBK 2025 78</w:t>
      </w:r>
    </w:p>
    <w:p>
      <w:r>
        <w:t>FR: GR_GERICHTE SBK 2025 78 du 29 septembre 2025</w:t>
      </w:r>
    </w:p>
    <w:p>
      <w:r>
        <w:t>IT: GR_GERICHTE SBK 2025 78 del 29 settembre 2025</w:t>
      </w:r>
    </w:p>
    <w:p>
      <w:pPr>
        <w:pStyle w:val="Heading2"/>
      </w:pPr>
      <w:r>
        <w:t>Regeste</w:t>
      </w:r>
    </w:p>
    <w:p>
      <w:r>
        <w:t>Z01_ENT_ZPO_Vollausfertigung_20250926_110655_ANOM.docx | Aufsicht Direktes Gesuch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Vorschuss der Kosten kann jeder Beteiligte innert zehn Tagen bei der kantonalen Aufsichtsbehörde eine Neuschätzung durch einen Sachverständigen verlangen (Art. 9 Abs. 2 Verordnung des Bundesgerichts über die Zwangsverwer- tung von Grundstücken [VZG; SR 281.42] i.V.m. Art. 99 Abs. 2 VZG). Eine Begrün- dung hierfür braucht es nicht (vgl. BGE 145 III 487 E. 3.3.3). Auch wenn die Be- schwerde nach Art. 17 SchKG und das Gesuch um eine Neuschätzung nach Art. 9 Abs. 2 VZG an die gleiche (kantonale) Behörde zu richten sind, handelt es sich dennoch um zwei unterschiedliche Verfahren (BGE 133 III 537 E. 4.1; Urteil des Bundesgerichts 5A_96/2019 v. 8. Juli 2019 E. 3.2). Trotz der irreführenden Bezeich- nung als Beschwerde ist die Eingabe als Gesuch zu qualifizieren. Sowohl der Antrag als auch die Begründung lassen keinen anderen Schluss zu. Die Mitteilung des Be- treibungsamtes vom 1. September 2025 wurde den Gesuchstellern am 9. Septem-</w:t>
      </w:r>
    </w:p>
    <w:p>
      <w:r>
        <w:rPr>
          <w:b/>
        </w:rPr>
        <w:t>E. 3</w:t>
      </w:r>
    </w:p>
    <w:p>
      <w:r>
        <w:t>Nach Vorliegen der Neuschätzung, d.h. wenn zwei voneinander abwei- chende Schätzungen gleich kompetenter Sachverständiger vorliegen, entscheidet die Aufsichtsbehörde (endgültig; vgl. dazu ZOPFI, a.a.O., Art. 9 N. 10 m.w.H.), ob der Schätzwert der ersten oder der zweiten Schätzung oder ob der Mittelwert der ersten und zweiten Schätzung massgebend ist (BGE 129 III 595 E. 3.1; 120 III 79 E. 2b; Urteile des Bundesgerichts 5A_34/2023 v. 22. August 2023 E. 2.3.3; 5A_639/2013 v. 21. Januar 2014 E. 2.1). Ein entsprechendes Gesuch wird das Be- treibungsamt zu gegebener Zeit der Aufsichtsbehörde unterbreiten.</w:t>
      </w:r>
    </w:p>
    <w:p>
      <w:r>
        <w:rPr>
          <w:b/>
        </w:rPr>
        <w:t>E. 4</w:t>
      </w:r>
    </w:p>
    <w:p>
      <w:r>
        <w:t>Zusammenfassend wird das Gesuch gutgeheissen und das Betreibungsamt Maloja wird angewiesen, nach Leistung eines Kostenvorschusses über die Grund- stücke Nrn. Z.4.________ und Z.5.________, alle Grundbuch O.1.________, eine neue Schätzung durch Sachverständige einzuholen.</w:t>
      </w:r>
    </w:p>
    <w:p>
      <w:r>
        <w:rPr>
          <w:b/>
        </w:rPr>
        <w:t>E. 5</w:t>
      </w:r>
    </w:p>
    <w:p>
      <w:r>
        <w:t>Da sich das vorliegende Gesuch als offensichtlich begründet erweist, ergeht dieser Entscheid in Anwendung von Art. 38 Abs. 3 GOG (BR 173.000) in einzelrich- terlicher Kompetenz.</w:t>
      </w:r>
    </w:p>
    <w:p>
      <w:r>
        <w:rPr>
          <w:b/>
        </w:rPr>
        <w:t>E. 6</w:t>
      </w:r>
    </w:p>
    <w:p>
      <w:r>
        <w:t>Die Kosten dieses Verfahrens gehen zu Lasten der Gesuchsteller (Art. 1 Abs. 2 GebVSchKG; BGE 131 III 136 E. 3 ff.).</w:t>
      </w:r>
    </w:p>
    <w:p>
      <w:r>
        <w:t>4 / 4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